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spacing w:before="160" w:after="80" w:line="240" w:lineRule="auto"/>
      </w:pPr>
      <w:r>
        <w:rPr>
          <w:rFonts w:ascii="Calibri" w:hAnsi="Calibri"/>
          <w:b/>
          <w:color w:val="141414"/>
          <w:sz w:val="40"/>
        </w:rPr>
        <w:t>Warunki postępowania zakupowego</w:t>
      </w:r>
    </w:p>
    <w:p>
      <w:pPr>
        <w:spacing w:before="0" w:after="140" w:line="240" w:lineRule="auto"/>
        <w:jc w:val="right"/>
      </w:pPr>
      <w:r>
        <w:rPr>
          <w:rFonts w:ascii="Calibri" w:hAnsi="Calibri" w:eastAsia="Calibri"/>
          <w:b/>
          <w:sz w:val="18"/>
        </w:rPr>
        <w:t>L.Dz. 20/2026/GF</w:t>
      </w:r>
    </w:p>
    <w:p>
      <w:pPr>
        <w:spacing w:before="0" w:after="240" w:line="264" w:lineRule="auto"/>
      </w:pPr>
      <w:r>
        <w:rPr>
          <w:rFonts w:ascii="Calibri" w:hAnsi="Calibri"/>
          <w:color w:val="646464"/>
          <w:sz w:val="24"/>
        </w:rPr>
        <w:t>Warunki udziału, opis sposobu przygotowania oferty i zasady wyboru wykonawcy</w:t>
      </w:r>
    </w:p>
    <w:tbl>
      <w:tblPr>
        <w:tblW w:type="dxa" w:w="9029"/>
        <w:tblLook w:firstColumn="1" w:firstRow="1" w:lastColumn="0" w:lastRow="0" w:noHBand="0" w:noVBand="1" w:val="04A0"/>
        <w:tblInd w:w="120" w:type="dxa"/>
        <w:tblLayout w:type="fixed"/>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Pr>
      <w:tblGrid>
        <w:gridCol w:w="2550"/>
        <w:gridCol w:w="6479"/>
      </w:tblGrid>
      <w:tr>
        <w:tc>
          <w:tcPr>
            <w:tcW w:type="dxa" w:w="2550"/>
            <w:tcMar>
              <w:top w:w="90" w:type="dxa"/>
              <w:start w:w="120" w:type="dxa"/>
              <w:bottom w:w="90" w:type="dxa"/>
              <w:end w:w="120" w:type="dxa"/>
            </w:tcMar>
            <w:vAlign w:val="center"/>
            <w:shd w:fill="F2F4F7"/>
          </w:tcPr>
          <w:p>
            <w:pPr>
              <w:spacing w:before="0" w:after="0" w:line="259" w:lineRule="auto"/>
            </w:pPr>
            <w:r>
              <w:rPr>
                <w:rFonts w:ascii="Calibri" w:hAnsi="Calibri"/>
                <w:b/>
                <w:color w:val="1F4D78"/>
                <w:sz w:val="21"/>
              </w:rPr>
              <w:t>Zamawiający</w:t>
            </w:r>
          </w:p>
        </w:tc>
        <w:tc>
          <w:tcPr>
            <w:tcW w:type="dxa" w:w="6479"/>
            <w:tcMar>
              <w:top w:w="90" w:type="dxa"/>
              <w:start w:w="120" w:type="dxa"/>
              <w:bottom w:w="90" w:type="dxa"/>
              <w:end w:w="120" w:type="dxa"/>
            </w:tcMar>
            <w:vAlign w:val="center"/>
          </w:tcPr>
          <w:p>
            <w:pPr>
              <w:spacing w:before="0" w:after="0" w:line="259" w:lineRule="auto"/>
            </w:pPr>
            <w:r>
              <w:rPr>
                <w:rFonts w:ascii="Calibri" w:hAnsi="Calibri"/>
                <w:b w:val="0"/>
                <w:color w:val="141414"/>
                <w:sz w:val="21"/>
              </w:rPr>
              <w:t>Klasztor Znalezienia Krzyża Św. Zakonu Braci Mniejszych Konwentualnych (Franciszkanów) w Kalwarii Pacławskiej, Kalwaria Pacławska 40, 37-743 Kalwaria Pacławska, NIP: 7951803096, REGON: 040013388</w:t>
            </w:r>
          </w:p>
        </w:tc>
      </w:tr>
      <w:tr>
        <w:tc>
          <w:tcPr>
            <w:tcW w:type="dxa" w:w="2550"/>
            <w:tcMar>
              <w:top w:w="90" w:type="dxa"/>
              <w:start w:w="120" w:type="dxa"/>
              <w:bottom w:w="90" w:type="dxa"/>
              <w:end w:w="120" w:type="dxa"/>
            </w:tcMar>
            <w:vAlign w:val="center"/>
            <w:shd w:fill="F2F4F7"/>
          </w:tcPr>
          <w:p>
            <w:pPr>
              <w:spacing w:before="0" w:after="0" w:line="259" w:lineRule="auto"/>
            </w:pPr>
            <w:r>
              <w:rPr>
                <w:rFonts w:ascii="Calibri" w:hAnsi="Calibri"/>
                <w:b/>
                <w:color w:val="1F4D78"/>
                <w:sz w:val="21"/>
              </w:rPr>
              <w:t>Operator techniczny</w:t>
            </w:r>
          </w:p>
        </w:tc>
        <w:tc>
          <w:tcPr>
            <w:tcW w:type="dxa" w:w="6479"/>
            <w:tcMar>
              <w:top w:w="90" w:type="dxa"/>
              <w:start w:w="120" w:type="dxa"/>
              <w:bottom w:w="90" w:type="dxa"/>
              <w:end w:w="120" w:type="dxa"/>
            </w:tcMar>
            <w:vAlign w:val="center"/>
          </w:tcPr>
          <w:p>
            <w:pPr>
              <w:spacing w:before="0" w:after="0" w:line="259" w:lineRule="auto"/>
            </w:pPr>
            <w:r>
              <w:rPr>
                <w:rFonts w:ascii="Calibri" w:hAnsi="Calibri"/>
                <w:color w:val="141414"/>
                <w:sz w:val="22"/>
              </w:rPr>
              <w:t>Gmina Fredropol, Fredropol 15, 37-734 Fredropol - wsparcie techniczne w publikacji ogłoszenia i dokumentów na stronie Gminy; bez przyjmowania ofert</w:t>
            </w:r>
          </w:p>
        </w:tc>
      </w:tr>
      <w:tr>
        <w:tc>
          <w:tcPr>
            <w:tcW w:type="dxa" w:w="2550"/>
            <w:tcMar>
              <w:top w:w="90" w:type="dxa"/>
              <w:start w:w="120" w:type="dxa"/>
              <w:bottom w:w="90" w:type="dxa"/>
              <w:end w:w="120" w:type="dxa"/>
            </w:tcMar>
            <w:vAlign w:val="center"/>
            <w:shd w:fill="F2F4F7"/>
          </w:tcPr>
          <w:p>
            <w:pPr>
              <w:spacing w:before="0" w:after="0" w:line="259" w:lineRule="auto"/>
            </w:pPr>
            <w:r>
              <w:rPr>
                <w:rFonts w:ascii="Calibri" w:hAnsi="Calibri"/>
                <w:b/>
                <w:color w:val="1F4D78"/>
                <w:sz w:val="21"/>
              </w:rPr>
              <w:t>Nazwa zadania</w:t>
            </w:r>
          </w:p>
        </w:tc>
        <w:tc>
          <w:tcPr>
            <w:tcW w:type="dxa" w:w="6479"/>
            <w:tcMar>
              <w:top w:w="90" w:type="dxa"/>
              <w:start w:w="120" w:type="dxa"/>
              <w:bottom w:w="90" w:type="dxa"/>
              <w:end w:w="120" w:type="dxa"/>
            </w:tcMar>
            <w:vAlign w:val="center"/>
          </w:tcPr>
          <w:p>
            <w:pPr>
              <w:spacing w:before="0" w:after="0" w:line="259" w:lineRule="auto"/>
            </w:pPr>
            <w:r>
              <w:rPr>
                <w:rFonts w:ascii="Calibri" w:hAnsi="Calibri"/>
                <w:b w:val="0"/>
                <w:color w:val="141414"/>
                <w:sz w:val="21"/>
              </w:rPr>
              <w:t>Remont zabytkowych kaplic z grupy Gradusy - kaplicy „Pierwszy Upadek” i „Włożenie Krzyża”, Klasztoru Znalezienia Krzyża Św. w Kalwarii Pacławskiej</w:t>
            </w:r>
          </w:p>
        </w:tc>
      </w:tr>
      <w:tr>
        <w:tc>
          <w:tcPr>
            <w:tcW w:type="dxa" w:w="2550"/>
            <w:tcMar>
              <w:top w:w="90" w:type="dxa"/>
              <w:start w:w="120" w:type="dxa"/>
              <w:bottom w:w="90" w:type="dxa"/>
              <w:end w:w="120" w:type="dxa"/>
            </w:tcMar>
            <w:vAlign w:val="center"/>
            <w:shd w:fill="F2F4F7"/>
          </w:tcPr>
          <w:p>
            <w:pPr>
              <w:spacing w:before="0" w:after="0" w:line="259" w:lineRule="auto"/>
            </w:pPr>
            <w:r>
              <w:rPr>
                <w:rFonts w:ascii="Calibri" w:hAnsi="Calibri"/>
                <w:b/>
                <w:color w:val="1F4D78"/>
                <w:sz w:val="21"/>
              </w:rPr>
              <w:t>Program</w:t>
            </w:r>
          </w:p>
        </w:tc>
        <w:tc>
          <w:tcPr>
            <w:tcW w:type="dxa" w:w="6479"/>
            <w:tcMar>
              <w:top w:w="90" w:type="dxa"/>
              <w:start w:w="120" w:type="dxa"/>
              <w:bottom w:w="90" w:type="dxa"/>
              <w:end w:w="120" w:type="dxa"/>
            </w:tcMar>
            <w:vAlign w:val="center"/>
          </w:tcPr>
          <w:p>
            <w:pPr>
              <w:spacing w:before="0" w:after="0" w:line="259" w:lineRule="auto"/>
            </w:pPr>
            <w:r>
              <w:rPr>
                <w:rFonts w:ascii="Calibri" w:hAnsi="Calibri"/>
                <w:b w:val="0"/>
                <w:color w:val="141414"/>
                <w:sz w:val="21"/>
              </w:rPr>
              <w:t>Rządowy Program Odbudowy Zabytków / Polski Ład, Wstępna Promesa RPOZ nr RPOZ/2022/13111/PolskiLad</w:t>
            </w:r>
          </w:p>
        </w:tc>
      </w:tr>
      <w:tr>
        <w:tc>
          <w:tcPr>
            <w:tcW w:type="dxa" w:w="2550"/>
            <w:tcMar>
              <w:top w:w="90" w:type="dxa"/>
              <w:start w:w="120" w:type="dxa"/>
              <w:bottom w:w="90" w:type="dxa"/>
              <w:end w:w="120" w:type="dxa"/>
            </w:tcMar>
            <w:vAlign w:val="center"/>
            <w:shd w:fill="F2F4F7"/>
          </w:tcPr>
          <w:p>
            <w:pPr>
              <w:spacing w:before="0" w:after="0" w:line="259" w:lineRule="auto"/>
            </w:pPr>
            <w:r>
              <w:rPr>
                <w:rFonts w:ascii="Calibri" w:hAnsi="Calibri"/>
                <w:b/>
                <w:color w:val="1F4D78"/>
                <w:sz w:val="21"/>
              </w:rPr>
              <w:t>Wartość szacunkowa</w:t>
            </w:r>
          </w:p>
        </w:tc>
        <w:tc>
          <w:tcPr>
            <w:tcW w:type="dxa" w:w="6479"/>
            <w:tcMar>
              <w:top w:w="90" w:type="dxa"/>
              <w:start w:w="120" w:type="dxa"/>
              <w:bottom w:w="90" w:type="dxa"/>
              <w:end w:w="120" w:type="dxa"/>
            </w:tcMar>
            <w:vAlign w:val="center"/>
          </w:tcPr>
          <w:p>
            <w:pPr>
              <w:spacing w:before="0" w:after="0" w:line="259" w:lineRule="auto"/>
            </w:pPr>
            <w:r>
              <w:rPr>
                <w:rFonts w:ascii="Calibri" w:hAnsi="Calibri"/>
                <w:b w:val="0"/>
                <w:color w:val="141414"/>
                <w:sz w:val="21"/>
              </w:rPr>
              <w:t>179 323,92 zł netto, 41 244,50 zł VAT, 220 568,42 zł brutto</w:t>
            </w:r>
          </w:p>
        </w:tc>
      </w:tr>
    </w:tbl>
    <w:p/>
    <w:p>
      <w:pPr>
        <w:pStyle w:val="Heading1"/>
        <w:spacing w:before="280" w:after="140" w:line="252" w:lineRule="auto"/>
      </w:pPr>
      <w:r>
        <w:t>1. Tryb i zasady prowadzenia postępowania</w:t>
      </w:r>
    </w:p>
    <w:p>
      <w:pPr>
        <w:spacing w:before="0" w:after="120" w:line="264" w:lineRule="auto"/>
      </w:pPr>
      <w:r>
        <w:rPr>
          <w:rFonts w:ascii="Calibri" w:hAnsi="Calibri"/>
        </w:rPr>
        <w:t>Postępowanie jest prowadzone jako postępowanie zakupowe Beneficjenta dotacji w rozumieniu Regulaminu Rządowego Programu Odbudowy Zabytków. Ustawa Prawo zamówień publicznych nie ma zastosowania do niniejszego postępowania.</w:t>
      </w:r>
    </w:p>
    <w:p>
      <w:pPr>
        <w:spacing w:before="0" w:after="120" w:line="264" w:lineRule="auto"/>
      </w:pPr>
      <w:r>
        <w:rPr>
          <w:rFonts w:ascii="Calibri" w:hAnsi="Calibri"/>
          <w:color w:val="141414"/>
          <w:sz w:val="22"/>
        </w:rPr>
        <w:t>Gmina Fredropol zapewnia wsparcie techniczne w ogłoszeniu postępowania, w szczególności przez zamieszczenie ogłoszenia i dokumentów na swojej stronie internetowej. Ogłoszenie i dokumenty zostaną zamieszczone także na stronie internetowej Klasztoru. Gmina nie przyjmuje ofert, nie jest Zamawiającym, nie wybiera wykonawcy we własnym imieniu i nie jest stroną umowy z wykonawcą.</w:t>
      </w:r>
    </w:p>
    <w:p>
      <w:pPr>
        <w:pStyle w:val="Heading1"/>
        <w:spacing w:before="280" w:after="140" w:line="252" w:lineRule="auto"/>
      </w:pPr>
      <w:r>
        <w:t>2. Opis przedmiotu zamówienia</w:t>
      </w:r>
    </w:p>
    <w:p>
      <w:pPr>
        <w:spacing w:before="0" w:after="120" w:line="264" w:lineRule="auto"/>
      </w:pPr>
      <w:r>
        <w:rPr>
          <w:rFonts w:ascii="Calibri" w:hAnsi="Calibri"/>
        </w:rPr>
        <w:t>Szczegółowy zakres robót określają przedmiar robót, dokumentacja projektowa, decyzja/pozwolenie konserwatorskie oraz pozwolenie na budowę. Wykonawca zobowiązany jest do uwzględnienia w cenie wszystkich kosztów prawidłowego wykonania przedmiotu zamówienia.</w:t>
      </w:r>
    </w:p>
    <w:p>
      <w:pPr>
        <w:pStyle w:val="Heading2"/>
        <w:spacing w:before="200" w:after="100" w:line="252" w:lineRule="auto"/>
      </w:pPr>
      <w:r>
        <w:t>2.1. Kody CPV</w:t>
      </w:r>
    </w:p>
    <w:p>
      <w:pPr>
        <w:pStyle w:val="ListBullet"/>
        <w:spacing w:before="0" w:after="80" w:line="264" w:lineRule="auto"/>
      </w:pPr>
      <w:r>
        <w:rPr>
          <w:rFonts w:ascii="Calibri" w:hAnsi="Calibri"/>
        </w:rPr>
        <w:t>45453000-7 Roboty remontowe i renowacyjne.</w:t>
      </w:r>
    </w:p>
    <w:p>
      <w:pPr>
        <w:pStyle w:val="ListBullet"/>
        <w:spacing w:before="0" w:after="80" w:line="264" w:lineRule="auto"/>
      </w:pPr>
      <w:r>
        <w:rPr>
          <w:rFonts w:ascii="Calibri" w:hAnsi="Calibri"/>
        </w:rPr>
        <w:t>45453100-8 Roboty renowacyjne.</w:t>
      </w:r>
    </w:p>
    <w:p>
      <w:pPr>
        <w:pStyle w:val="ListBullet"/>
        <w:spacing w:before="0" w:after="80" w:line="264" w:lineRule="auto"/>
      </w:pPr>
      <w:r>
        <w:rPr>
          <w:rFonts w:ascii="Calibri" w:hAnsi="Calibri"/>
        </w:rPr>
        <w:t>45320000-6 Roboty izolacyjne.</w:t>
      </w:r>
    </w:p>
    <w:p>
      <w:pPr>
        <w:pStyle w:val="ListBullet"/>
        <w:spacing w:before="0" w:after="80" w:line="264" w:lineRule="auto"/>
      </w:pPr>
      <w:r>
        <w:rPr>
          <w:rFonts w:ascii="Calibri" w:hAnsi="Calibri"/>
        </w:rPr>
        <w:t>45261210-9 Wykonywanie pokryć dachowych.</w:t>
      </w:r>
    </w:p>
    <w:p>
      <w:pPr>
        <w:pStyle w:val="ListBullet"/>
        <w:spacing w:before="0" w:after="80" w:line="264" w:lineRule="auto"/>
      </w:pPr>
      <w:r>
        <w:rPr>
          <w:rFonts w:ascii="Calibri" w:hAnsi="Calibri"/>
        </w:rPr>
        <w:t>45232452-5 Roboty odwadniające.</w:t>
      </w:r>
    </w:p>
    <w:p>
      <w:pPr>
        <w:pStyle w:val="Heading1"/>
        <w:spacing w:before="280" w:after="140" w:line="252" w:lineRule="auto"/>
      </w:pPr>
      <w:r>
        <w:t>3. Terminy postępowania i wykonania</w:t>
      </w:r>
    </w:p>
    <w:tbl>
      <w:tblPr>
        <w:tblW w:type="dxa" w:w="9029"/>
        <w:tblLook w:firstColumn="1" w:firstRow="1" w:lastColumn="0" w:lastRow="0" w:noHBand="0" w:noVBand="1" w:val="04A0"/>
        <w:tblInd w:w="120" w:type="dxa"/>
        <w:tblLayout w:type="fixed"/>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Pr>
      <w:tblGrid>
        <w:gridCol w:w="3300"/>
        <w:gridCol w:w="5729"/>
      </w:tblGrid>
      <w:tr>
        <w:tc>
          <w:tcPr>
            <w:tcW w:type="dxa" w:w="3300"/>
            <w:tcMar>
              <w:top w:w="90" w:type="dxa"/>
              <w:start w:w="120" w:type="dxa"/>
              <w:bottom w:w="90" w:type="dxa"/>
              <w:end w:w="120" w:type="dxa"/>
            </w:tcMar>
            <w:vAlign w:val="center"/>
            <w:shd w:fill="F2F4F7"/>
          </w:tcPr>
          <w:p>
            <w:pPr>
              <w:spacing w:before="0" w:after="0" w:line="259" w:lineRule="auto"/>
            </w:pPr>
            <w:r>
              <w:rPr>
                <w:rFonts w:ascii="Calibri" w:hAnsi="Calibri"/>
                <w:b/>
                <w:color w:val="1F4D78"/>
                <w:sz w:val="20"/>
              </w:rPr>
              <w:t>Czynność</w:t>
            </w:r>
          </w:p>
        </w:tc>
        <w:tc>
          <w:tcPr>
            <w:tcW w:type="dxa" w:w="5729"/>
            <w:tcMar>
              <w:top w:w="90" w:type="dxa"/>
              <w:start w:w="120" w:type="dxa"/>
              <w:bottom w:w="90" w:type="dxa"/>
              <w:end w:w="120" w:type="dxa"/>
            </w:tcMar>
            <w:vAlign w:val="center"/>
            <w:shd w:fill="F2F4F7"/>
          </w:tcPr>
          <w:p>
            <w:pPr>
              <w:spacing w:before="0" w:after="0" w:line="259" w:lineRule="auto"/>
            </w:pPr>
            <w:r>
              <w:rPr>
                <w:rFonts w:ascii="Calibri" w:hAnsi="Calibri"/>
                <w:b/>
                <w:color w:val="1F4D78"/>
                <w:sz w:val="20"/>
              </w:rPr>
              <w:t>Termin</w:t>
            </w:r>
          </w:p>
        </w:tc>
      </w:tr>
      <w:tr>
        <w:tc>
          <w:tcPr>
            <w:tcW w:type="dxa" w:w="3300"/>
          </w:tcPr>
          <w:p>
            <w:pPr>
              <w:spacing w:before="0" w:after="0" w:line="259" w:lineRule="auto"/>
            </w:pPr>
            <w:r>
              <w:rPr>
                <w:rFonts w:ascii="Calibri" w:hAnsi="Calibri"/>
                <w:b w:val="0"/>
                <w:color w:val="141414"/>
                <w:sz w:val="20"/>
              </w:rPr>
              <w:t>Publikacja</w:t>
            </w:r>
          </w:p>
        </w:tc>
        <w:tc>
          <w:tcPr>
            <w:tcW w:type="dxa" w:w="5729"/>
          </w:tcPr>
          <w:p>
            <w:pPr>
              <w:spacing w:before="0" w:after="0" w:line="259" w:lineRule="auto"/>
            </w:pPr>
            <w:r>
              <w:rPr>
                <w:rFonts w:ascii="Calibri" w:hAnsi="Calibri"/>
                <w:b w:val="0"/>
                <w:color w:val="141414"/>
                <w:sz w:val="20"/>
              </w:rPr>
              <w:t>3 lipca 2026 r.</w:t>
            </w:r>
          </w:p>
        </w:tc>
      </w:tr>
      <w:tr>
        <w:tc>
          <w:tcPr>
            <w:tcW w:type="dxa" w:w="3300"/>
          </w:tcPr>
          <w:p>
            <w:pPr>
              <w:spacing w:before="0" w:after="0" w:line="259" w:lineRule="auto"/>
            </w:pPr>
            <w:r>
              <w:rPr>
                <w:rFonts w:ascii="Calibri" w:hAnsi="Calibri"/>
                <w:b w:val="0"/>
                <w:color w:val="141414"/>
                <w:sz w:val="20"/>
              </w:rPr>
              <w:t>Pytania wykonawców</w:t>
            </w:r>
          </w:p>
        </w:tc>
        <w:tc>
          <w:tcPr>
            <w:tcW w:type="dxa" w:w="5729"/>
          </w:tcPr>
          <w:p>
            <w:pPr>
              <w:spacing w:before="0" w:after="0" w:line="259" w:lineRule="auto"/>
            </w:pPr>
            <w:r>
              <w:rPr>
                <w:rFonts w:ascii="Calibri" w:hAnsi="Calibri"/>
                <w:b w:val="0"/>
                <w:color w:val="141414"/>
                <w:sz w:val="20"/>
              </w:rPr>
              <w:t>24 lipca 2026 r. do godz. 12:00</w:t>
            </w:r>
          </w:p>
        </w:tc>
      </w:tr>
      <w:tr>
        <w:tc>
          <w:tcPr>
            <w:tcW w:type="dxa" w:w="3300"/>
          </w:tcPr>
          <w:p>
            <w:pPr>
              <w:spacing w:before="0" w:after="0" w:line="259" w:lineRule="auto"/>
            </w:pPr>
            <w:r>
              <w:rPr>
                <w:rFonts w:ascii="Calibri" w:hAnsi="Calibri"/>
                <w:b w:val="0"/>
                <w:color w:val="141414"/>
                <w:sz w:val="20"/>
              </w:rPr>
              <w:t>Odpowiedzi / wyjaśnienia</w:t>
            </w:r>
          </w:p>
        </w:tc>
        <w:tc>
          <w:tcPr>
            <w:tcW w:type="dxa" w:w="5729"/>
          </w:tcPr>
          <w:p>
            <w:pPr>
              <w:spacing w:before="0" w:after="0" w:line="259" w:lineRule="auto"/>
            </w:pPr>
            <w:r>
              <w:rPr>
                <w:rFonts w:ascii="Calibri" w:hAnsi="Calibri"/>
                <w:b w:val="0"/>
                <w:color w:val="141414"/>
                <w:sz w:val="20"/>
              </w:rPr>
              <w:t>planowo do 28 lipca 2026 r.</w:t>
            </w:r>
          </w:p>
        </w:tc>
      </w:tr>
      <w:tr>
        <w:tc>
          <w:tcPr>
            <w:tcW w:type="dxa" w:w="3300"/>
          </w:tcPr>
          <w:p>
            <w:pPr>
              <w:spacing w:before="0" w:after="0" w:line="259" w:lineRule="auto"/>
            </w:pPr>
            <w:r>
              <w:rPr>
                <w:rFonts w:ascii="Calibri" w:hAnsi="Calibri"/>
                <w:b w:val="0"/>
                <w:color w:val="141414"/>
                <w:sz w:val="20"/>
              </w:rPr>
              <w:t>Składanie ofert</w:t>
            </w:r>
          </w:p>
        </w:tc>
        <w:tc>
          <w:tcPr>
            <w:tcW w:type="dxa" w:w="5729"/>
          </w:tcPr>
          <w:p>
            <w:pPr>
              <w:spacing w:before="0" w:after="0" w:line="259" w:lineRule="auto"/>
            </w:pPr>
            <w:r>
              <w:rPr>
                <w:rFonts w:ascii="Calibri" w:hAnsi="Calibri"/>
                <w:b w:val="0"/>
                <w:color w:val="141414"/>
                <w:sz w:val="20"/>
              </w:rPr>
              <w:t>3 sierpnia 2026 r. do godz. 12:00</w:t>
            </w:r>
          </w:p>
        </w:tc>
      </w:tr>
      <w:tr>
        <w:tc>
          <w:tcPr>
            <w:tcW w:type="dxa" w:w="3300"/>
          </w:tcPr>
          <w:p>
            <w:pPr>
              <w:spacing w:before="0" w:after="0" w:line="259" w:lineRule="auto"/>
            </w:pPr>
            <w:r>
              <w:rPr>
                <w:rFonts w:ascii="Calibri" w:hAnsi="Calibri"/>
                <w:b w:val="0"/>
                <w:color w:val="141414"/>
                <w:sz w:val="20"/>
              </w:rPr>
              <w:t>Otwarcie ofert</w:t>
            </w:r>
          </w:p>
        </w:tc>
        <w:tc>
          <w:tcPr>
            <w:tcW w:type="dxa" w:w="5729"/>
          </w:tcPr>
          <w:p>
            <w:pPr>
              <w:spacing w:before="0" w:after="0" w:line="259" w:lineRule="auto"/>
            </w:pPr>
            <w:r>
              <w:rPr>
                <w:rFonts w:ascii="Calibri" w:hAnsi="Calibri"/>
                <w:b w:val="0"/>
                <w:color w:val="141414"/>
                <w:sz w:val="20"/>
              </w:rPr>
              <w:t>3 sierpnia 2026 r. o godz. 12:15</w:t>
            </w:r>
          </w:p>
        </w:tc>
      </w:tr>
      <w:tr>
        <w:tc>
          <w:tcPr>
            <w:tcW w:type="dxa" w:w="3300"/>
          </w:tcPr>
          <w:p>
            <w:pPr>
              <w:spacing w:before="0" w:after="0" w:line="259" w:lineRule="auto"/>
            </w:pPr>
            <w:r>
              <w:rPr>
                <w:rFonts w:ascii="Calibri" w:hAnsi="Calibri"/>
                <w:b w:val="0"/>
                <w:color w:val="141414"/>
                <w:sz w:val="20"/>
              </w:rPr>
              <w:t>Związanie ofertą</w:t>
            </w:r>
          </w:p>
        </w:tc>
        <w:tc>
          <w:tcPr>
            <w:tcW w:type="dxa" w:w="5729"/>
          </w:tcPr>
          <w:p>
            <w:pPr>
              <w:spacing w:before="0" w:after="0" w:line="259" w:lineRule="auto"/>
            </w:pPr>
            <w:r>
              <w:rPr>
                <w:rFonts w:ascii="Calibri" w:hAnsi="Calibri"/>
                <w:b w:val="0"/>
                <w:color w:val="141414"/>
                <w:sz w:val="20"/>
              </w:rPr>
              <w:t>do 2 września 2026 r.</w:t>
            </w:r>
          </w:p>
        </w:tc>
      </w:tr>
      <w:tr>
        <w:tc>
          <w:tcPr>
            <w:tcW w:type="dxa" w:w="3300"/>
          </w:tcPr>
          <w:p>
            <w:pPr>
              <w:spacing w:before="0" w:after="0" w:line="259" w:lineRule="auto"/>
            </w:pPr>
            <w:r>
              <w:rPr>
                <w:rFonts w:ascii="Calibri" w:hAnsi="Calibri"/>
                <w:b w:val="0"/>
                <w:color w:val="141414"/>
                <w:sz w:val="20"/>
              </w:rPr>
              <w:t>Zakończenie robót</w:t>
            </w:r>
          </w:p>
        </w:tc>
        <w:tc>
          <w:tcPr>
            <w:tcW w:type="dxa" w:w="5729"/>
          </w:tcPr>
          <w:p>
            <w:pPr>
              <w:spacing w:before="0" w:after="0" w:line="259" w:lineRule="auto"/>
            </w:pPr>
            <w:r>
              <w:rPr>
                <w:rFonts w:ascii="Calibri" w:hAnsi="Calibri"/>
                <w:b w:val="0"/>
                <w:color w:val="141414"/>
                <w:sz w:val="20"/>
              </w:rPr>
              <w:t>do 30 listopada 2026 r.</w:t>
            </w:r>
          </w:p>
        </w:tc>
      </w:tr>
    </w:tbl>
    <w:p/>
    <w:p>
      <w:pPr>
        <w:pStyle w:val="Heading1"/>
        <w:spacing w:before="280" w:after="140" w:line="252" w:lineRule="auto"/>
      </w:pPr>
      <w:r>
        <w:t>4. Warunki udziału w postępowaniu</w:t>
      </w:r>
    </w:p>
    <w:p>
      <w:pPr>
        <w:pStyle w:val="Heading2"/>
        <w:spacing w:before="200" w:after="100" w:line="252" w:lineRule="auto"/>
      </w:pPr>
      <w:r>
        <w:t>4.1. Doświadczenie wykonawcy</w:t>
      </w:r>
    </w:p>
    <w:p>
      <w:pPr>
        <w:spacing w:before="0" w:after="120" w:line="264" w:lineRule="auto"/>
      </w:pPr>
      <w:r>
        <w:rPr>
          <w:rFonts w:ascii="Calibri" w:hAnsi="Calibri"/>
        </w:rPr>
        <w:t>Zamawiający wymaga, aby Wykonawca wykazał, że w okresie ostatnich 5 lat przed upływem terminu składania ofert, a jeżeli okres prowadzenia działalności jest krótszy - w tym okresie, wykonał należycie co najmniej jedną robotę budowlano-konserwatorską, remontową lub renowacyjną:</w:t>
      </w:r>
    </w:p>
    <w:p>
      <w:pPr>
        <w:pStyle w:val="ListBullet"/>
        <w:spacing w:before="0" w:after="80" w:line="264" w:lineRule="auto"/>
      </w:pPr>
      <w:r>
        <w:rPr>
          <w:rFonts w:ascii="Calibri" w:hAnsi="Calibri"/>
        </w:rPr>
        <w:t>przy obiekcie zabytkowym, obiekcie wpisanym do rejestru zabytków, obiekcie ujętym w ewidencji zabytków albo obiekcie sakralnym objętym nadzorem konserwatorskim;</w:t>
      </w:r>
    </w:p>
    <w:p>
      <w:pPr>
        <w:pStyle w:val="ListBullet"/>
        <w:spacing w:before="0" w:after="80" w:line="264" w:lineRule="auto"/>
      </w:pPr>
      <w:r>
        <w:rPr>
          <w:rFonts w:ascii="Calibri" w:hAnsi="Calibri"/>
        </w:rPr>
        <w:t>o wartości nie mniejszej niż 100 000,00 zł brutto;</w:t>
      </w:r>
    </w:p>
    <w:p>
      <w:pPr>
        <w:pStyle w:val="ListBullet"/>
        <w:spacing w:before="0" w:after="80" w:line="264" w:lineRule="auto"/>
      </w:pPr>
      <w:r>
        <w:rPr>
          <w:rFonts w:ascii="Calibri" w:hAnsi="Calibri"/>
        </w:rPr>
        <w:t>obejmującą co najmniej prace elewacyjne, izolacyjne, dachowe, konserwatorskie lub renowacyjne przy obiekcie kubaturowym.</w:t>
      </w:r>
    </w:p>
    <w:p>
      <w:pPr>
        <w:spacing w:before="0" w:after="120" w:line="264" w:lineRule="auto"/>
      </w:pPr>
      <w:r>
        <w:rPr>
          <w:rFonts w:ascii="Calibri" w:hAnsi="Calibri"/>
        </w:rPr>
        <w:t>Na potwierdzenie warunku Wykonawca składa wykaz robót wraz z dowodami określającymi, czy roboty zostały wykonane należycie, w szczególności referencjami lub protokołem odbioru.</w:t>
      </w:r>
    </w:p>
    <w:p>
      <w:pPr>
        <w:pStyle w:val="Heading2"/>
        <w:spacing w:before="200" w:after="100" w:line="252" w:lineRule="auto"/>
      </w:pPr>
      <w:r>
        <w:t>4.2. Personel</w:t>
      </w:r>
    </w:p>
    <w:p>
      <w:pPr>
        <w:spacing w:before="0" w:after="120" w:line="264" w:lineRule="auto"/>
      </w:pPr>
      <w:r>
        <w:rPr>
          <w:rFonts w:ascii="Calibri" w:hAnsi="Calibri"/>
        </w:rPr>
        <w:t>Zamawiający wymaga, aby Wykonawca dysponował osobą przewidzianą do pełnienia funkcji kierownika robót/kierownika budowy, posiadającą uprawnienia budowlane do kierowania robotami budowlanymi w specjalności konstrukcyjno-budowlanej bez ograniczeń albo inne uprawnienia równoważne i wystarczające do kierowania robotami objętymi zamówieniem.</w:t>
      </w:r>
    </w:p>
    <w:p>
      <w:pPr>
        <w:spacing w:before="0" w:after="120" w:line="264" w:lineRule="auto"/>
      </w:pPr>
      <w:r>
        <w:rPr>
          <w:rFonts w:ascii="Calibri" w:hAnsi="Calibri"/>
        </w:rPr>
        <w:t>Osoba ta musi posiadać aktualne członkostwo we właściwej izbie samorządu zawodowego oraz wymagane ubezpieczenie OC. Wykonawca powinien wykazać doświadczenie tej osoby w kierowaniu co najmniej jedną robotą budowlaną; doświadczenie przy obiekcie zabytkowym lub pod nadzorem konserwatorskim będzie traktowane jako spełniające charakter zamówienia.</w:t>
      </w:r>
    </w:p>
    <w:p>
      <w:pPr>
        <w:pStyle w:val="Heading2"/>
        <w:spacing w:before="200" w:after="100" w:line="252" w:lineRule="auto"/>
      </w:pPr>
      <w:r>
        <w:t>4.3. Pozostałe warunki</w:t>
      </w:r>
    </w:p>
    <w:p>
      <w:pPr>
        <w:pStyle w:val="ListBullet"/>
        <w:spacing w:before="0" w:after="80" w:line="264" w:lineRule="auto"/>
      </w:pPr>
      <w:r>
        <w:rPr>
          <w:rFonts w:ascii="Calibri" w:hAnsi="Calibri"/>
        </w:rPr>
        <w:t>Wykonawca musi posiadać wiedzę, potencjał techniczny i organizacyjny zapewniające wykonanie zamówienia w terminie.</w:t>
      </w:r>
    </w:p>
    <w:p>
      <w:pPr>
        <w:pStyle w:val="ListBullet"/>
        <w:spacing w:before="0" w:after="80" w:line="264" w:lineRule="auto"/>
      </w:pPr>
      <w:r>
        <w:rPr>
          <w:rFonts w:ascii="Calibri" w:hAnsi="Calibri"/>
        </w:rPr>
        <w:t>Wykonawca nie może podlegać wykluczeniu z przyczyn wskazanych w oświadczeniu stanowiącym załącznik do warunków.</w:t>
      </w:r>
    </w:p>
    <w:p>
      <w:pPr>
        <w:pStyle w:val="ListBullet"/>
        <w:spacing w:before="0" w:after="80" w:line="264" w:lineRule="auto"/>
      </w:pPr>
      <w:r>
        <w:rPr>
          <w:rFonts w:ascii="Calibri" w:hAnsi="Calibri"/>
        </w:rPr>
        <w:t>Wykonawca musi zaakceptować projekt umowy i minimalny okres rękojmi/gwarancji 60 miesięcy.</w:t>
      </w:r>
    </w:p>
    <w:p>
      <w:pPr>
        <w:pStyle w:val="Heading1"/>
        <w:spacing w:before="280" w:after="140" w:line="252" w:lineRule="auto"/>
      </w:pPr>
      <w:r>
        <w:t>5. Dokumenty składane wraz z ofertą</w:t>
      </w:r>
    </w:p>
    <w:p>
      <w:pPr>
        <w:pStyle w:val="ListBullet"/>
        <w:spacing w:before="0" w:after="80" w:line="264" w:lineRule="auto"/>
      </w:pPr>
      <w:r>
        <w:rPr>
          <w:rFonts w:ascii="Calibri" w:hAnsi="Calibri"/>
        </w:rPr>
        <w:t>Formularz ofertowy.</w:t>
      </w:r>
    </w:p>
    <w:p>
      <w:pPr>
        <w:pStyle w:val="ListBullet"/>
        <w:spacing w:before="0" w:after="80" w:line="264" w:lineRule="auto"/>
      </w:pPr>
      <w:r>
        <w:rPr>
          <w:rFonts w:ascii="Calibri" w:hAnsi="Calibri"/>
        </w:rPr>
        <w:t>Kosztorys ofertowy sporządzony na podstawie przedmiaru robót.</w:t>
      </w:r>
    </w:p>
    <w:p>
      <w:pPr>
        <w:pStyle w:val="ListBullet"/>
        <w:spacing w:before="0" w:after="80" w:line="264" w:lineRule="auto"/>
      </w:pPr>
      <w:r>
        <w:rPr>
          <w:rFonts w:ascii="Calibri" w:hAnsi="Calibri"/>
        </w:rPr>
        <w:t>Oświadczenia Wykonawcy.</w:t>
      </w:r>
    </w:p>
    <w:p>
      <w:pPr>
        <w:pStyle w:val="ListBullet"/>
        <w:spacing w:before="0" w:after="80" w:line="264" w:lineRule="auto"/>
      </w:pPr>
      <w:r>
        <w:rPr>
          <w:rFonts w:ascii="Calibri" w:hAnsi="Calibri"/>
        </w:rPr>
        <w:t>Wykaz robót wraz z referencjami lub innymi dowodami należytego wykonania.</w:t>
      </w:r>
    </w:p>
    <w:p>
      <w:pPr>
        <w:pStyle w:val="ListBullet"/>
        <w:spacing w:before="0" w:after="80" w:line="264" w:lineRule="auto"/>
      </w:pPr>
      <w:r>
        <w:rPr>
          <w:rFonts w:ascii="Calibri" w:hAnsi="Calibri"/>
        </w:rPr>
        <w:t>Wykaz osób wraz z dokumentami potwierdzającymi uprawnienia i aktualne członkostwo w izbie.</w:t>
      </w:r>
    </w:p>
    <w:p>
      <w:pPr>
        <w:pStyle w:val="ListBullet"/>
        <w:spacing w:before="0" w:after="80" w:line="264" w:lineRule="auto"/>
      </w:pPr>
      <w:r>
        <w:rPr>
          <w:rFonts w:ascii="Calibri" w:hAnsi="Calibri"/>
        </w:rPr>
        <w:t>Pełnomocnictwo - jeżeli ofertę podpisuje pełnomocnik.</w:t>
      </w:r>
    </w:p>
    <w:p>
      <w:pPr>
        <w:pStyle w:val="Heading1"/>
        <w:spacing w:before="280" w:after="140" w:line="252" w:lineRule="auto"/>
      </w:pPr>
      <w:r>
        <w:t>6. Sposób przygotowania i złożenia oferty</w:t>
      </w:r>
    </w:p>
    <w:p>
      <w:pPr>
        <w:spacing w:before="0" w:after="120" w:line="264" w:lineRule="auto"/>
      </w:pPr>
      <w:r>
        <w:rPr>
          <w:rFonts w:ascii="Calibri" w:hAnsi="Calibri"/>
          <w:color w:val="141414"/>
          <w:sz w:val="22"/>
        </w:rPr>
        <w:t>Oferta powinna być sporządzona w języku polskim, podpisana przez osobę uprawnioną do reprezentacji Wykonawcy i złożona wyłącznie w formie papierowej. Komplet dokumentów musi dotrzeć do Zamawiającego, tj. do Klasztoru, przed upływem terminu składania ofert, do dnia 3 sierpnia 2026 r. do godz. 12:00. Ofertę należy złożyć osobiście, przez posłańca albo przesyłką pocztową/kurierską na adres: Klasztor Znalezienia Krzyża Św. Zakonu Braci Mniejszych Konwentualnych (Franciszkanów) w Kalwarii Pacławskiej, Kalwaria Pacławska 40, 37-743 Kalwaria Pacławska. Decyduje data i godzina wpływu do Zamawiającego. Koperta musi być zamknięta i opisana: "Oferta - Remont zabytkowych kaplic z grupy Gradusy - nie otwierać przed terminem otwarcia ofert".</w:t>
      </w:r>
    </w:p>
    <w:p>
      <w:pPr>
        <w:spacing w:before="0" w:after="120" w:line="264" w:lineRule="auto"/>
      </w:pPr>
      <w:r>
        <w:rPr>
          <w:rFonts w:ascii="Calibri" w:hAnsi="Calibri"/>
        </w:rPr>
        <w:t>Cena oferty musi obejmować wszystkie koszty wykonania zamówienia, w tym materiały, robociznę, sprzęt, transport, zabezpieczenie terenu, wymagane uzgodnienia organizacyjne, uporządkowanie terenu oraz koszty wynikające z prowadzenia prac przy obiekcie zabytkowym.</w:t>
      </w:r>
    </w:p>
    <w:p>
      <w:pPr>
        <w:pStyle w:val="Heading1"/>
        <w:spacing w:before="280" w:after="140" w:line="252" w:lineRule="auto"/>
      </w:pPr>
      <w:r>
        <w:t>7. Kryterium oceny ofert</w:t>
      </w:r>
    </w:p>
    <w:tbl>
      <w:tblPr>
        <w:tblW w:type="dxa" w:w="9029"/>
        <w:tblLook w:firstColumn="1" w:firstRow="1" w:lastColumn="0" w:lastRow="0" w:noHBand="0" w:noVBand="1" w:val="04A0"/>
        <w:tblInd w:w="120" w:type="dxa"/>
        <w:tblLayout w:type="fixed"/>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Pr>
      <w:tblGrid>
        <w:gridCol w:w="2400"/>
        <w:gridCol w:w="1400"/>
        <w:gridCol w:w="5229"/>
      </w:tblGrid>
      <w:tr>
        <w:tc>
          <w:tcPr>
            <w:tcW w:type="dxa" w:w="2400"/>
            <w:tcMar>
              <w:top w:w="90" w:type="dxa"/>
              <w:start w:w="120" w:type="dxa"/>
              <w:bottom w:w="90" w:type="dxa"/>
              <w:end w:w="120" w:type="dxa"/>
            </w:tcMar>
            <w:vAlign w:val="center"/>
            <w:shd w:fill="F2F4F7"/>
          </w:tcPr>
          <w:p>
            <w:pPr>
              <w:spacing w:before="0" w:after="0" w:line="259" w:lineRule="auto"/>
            </w:pPr>
            <w:r>
              <w:rPr>
                <w:rFonts w:ascii="Calibri" w:hAnsi="Calibri"/>
                <w:b/>
                <w:color w:val="1F4D78"/>
                <w:sz w:val="20"/>
              </w:rPr>
              <w:t>Kryterium</w:t>
            </w:r>
          </w:p>
        </w:tc>
        <w:tc>
          <w:tcPr>
            <w:tcW w:type="dxa" w:w="1400"/>
            <w:tcMar>
              <w:top w:w="90" w:type="dxa"/>
              <w:start w:w="120" w:type="dxa"/>
              <w:bottom w:w="90" w:type="dxa"/>
              <w:end w:w="120" w:type="dxa"/>
            </w:tcMar>
            <w:vAlign w:val="center"/>
            <w:shd w:fill="F2F4F7"/>
          </w:tcPr>
          <w:p>
            <w:pPr>
              <w:spacing w:before="0" w:after="0" w:line="259" w:lineRule="auto"/>
            </w:pPr>
            <w:r>
              <w:rPr>
                <w:rFonts w:ascii="Calibri" w:hAnsi="Calibri"/>
                <w:b/>
                <w:color w:val="1F4D78"/>
                <w:sz w:val="20"/>
              </w:rPr>
              <w:t>Waga</w:t>
            </w:r>
          </w:p>
        </w:tc>
        <w:tc>
          <w:tcPr>
            <w:tcW w:type="dxa" w:w="5229"/>
            <w:tcMar>
              <w:top w:w="90" w:type="dxa"/>
              <w:start w:w="120" w:type="dxa"/>
              <w:bottom w:w="90" w:type="dxa"/>
              <w:end w:w="120" w:type="dxa"/>
            </w:tcMar>
            <w:vAlign w:val="center"/>
            <w:shd w:fill="F2F4F7"/>
          </w:tcPr>
          <w:p>
            <w:pPr>
              <w:spacing w:before="0" w:after="0" w:line="259" w:lineRule="auto"/>
            </w:pPr>
            <w:r>
              <w:rPr>
                <w:rFonts w:ascii="Calibri" w:hAnsi="Calibri"/>
                <w:b/>
                <w:color w:val="1F4D78"/>
                <w:sz w:val="20"/>
              </w:rPr>
              <w:t>Sposób oceny</w:t>
            </w:r>
          </w:p>
        </w:tc>
      </w:tr>
      <w:tr>
        <w:tc>
          <w:tcPr>
            <w:tcW w:type="dxa" w:w="2400"/>
          </w:tcPr>
          <w:p>
            <w:pPr>
              <w:spacing w:before="0" w:after="0" w:line="259" w:lineRule="auto"/>
            </w:pPr>
            <w:r>
              <w:rPr>
                <w:rFonts w:ascii="Calibri" w:hAnsi="Calibri"/>
                <w:b w:val="0"/>
                <w:color w:val="141414"/>
                <w:sz w:val="20"/>
              </w:rPr>
              <w:t>Cena brutto</w:t>
            </w:r>
          </w:p>
        </w:tc>
        <w:tc>
          <w:tcPr>
            <w:tcW w:type="dxa" w:w="1400"/>
          </w:tcPr>
          <w:p>
            <w:pPr>
              <w:spacing w:before="0" w:after="0" w:line="259" w:lineRule="auto"/>
            </w:pPr>
            <w:r>
              <w:rPr>
                <w:rFonts w:ascii="Calibri" w:hAnsi="Calibri"/>
                <w:b w:val="0"/>
                <w:color w:val="141414"/>
                <w:sz w:val="20"/>
              </w:rPr>
              <w:t>100%</w:t>
            </w:r>
          </w:p>
        </w:tc>
        <w:tc>
          <w:tcPr>
            <w:tcW w:type="dxa" w:w="5229"/>
          </w:tcPr>
          <w:p>
            <w:pPr>
              <w:spacing w:before="0" w:after="0" w:line="259" w:lineRule="auto"/>
            </w:pPr>
            <w:r>
              <w:rPr>
                <w:rFonts w:ascii="Calibri" w:hAnsi="Calibri"/>
                <w:b w:val="0"/>
                <w:color w:val="141414"/>
                <w:sz w:val="20"/>
              </w:rPr>
              <w:t>Najniższa cena brutto otrzyma 100 pkt; pozostałe oferty proporcjonalnie mniej według wzoru: C = Cn / Cb x 100.</w:t>
            </w:r>
          </w:p>
        </w:tc>
      </w:tr>
    </w:tbl>
    <w:p/>
    <w:p>
      <w:pPr>
        <w:pStyle w:val="Heading1"/>
        <w:spacing w:before="280" w:after="140" w:line="252" w:lineRule="auto"/>
      </w:pPr>
      <w:r>
        <w:t>8. Wyjaśnienia, poprawki i unieważnienie</w:t>
      </w:r>
    </w:p>
    <w:p>
      <w:pPr>
        <w:spacing w:before="0" w:after="120" w:line="264" w:lineRule="auto"/>
      </w:pPr>
      <w:r>
        <w:rPr>
          <w:rFonts w:ascii="Calibri" w:hAnsi="Calibri"/>
        </w:rPr>
        <w:t>Zamawiający może żądać od Wykonawców wyjaśnień dotyczących treści ofert i złożonych dokumentów. Zamawiający może poprawić oczywiste omyłki pisarskie i rachunkowe, informując o tym Wykonawcę.</w:t>
      </w:r>
    </w:p>
    <w:p>
      <w:pPr>
        <w:spacing w:before="0" w:after="120" w:line="264" w:lineRule="auto"/>
      </w:pPr>
      <w:r>
        <w:rPr>
          <w:rFonts w:ascii="Calibri" w:hAnsi="Calibri"/>
        </w:rPr>
        <w:t>Zamawiający zastrzega możliwość unieważnienia postępowania, w szczególności gdy nie zostanie złożona żadna ważna oferta, cena najkorzystniejszej oferty przewyższy środki przeznaczone na realizację zamówienia, wystąpi istotna zmiana okoliczności albo nie zostaną spełnione warunki finansowania zadania ze środków RPOZ/dotacji.</w:t>
      </w:r>
    </w:p>
    <w:p>
      <w:pPr>
        <w:pStyle w:val="Heading1"/>
        <w:spacing w:before="280" w:after="140" w:line="252" w:lineRule="auto"/>
      </w:pPr>
      <w:r>
        <w:t>9. Zawarcie umowy</w:t>
      </w:r>
    </w:p>
    <w:p>
      <w:pPr>
        <w:spacing w:before="0" w:after="120" w:line="264" w:lineRule="auto"/>
      </w:pPr>
      <w:r>
        <w:rPr>
          <w:rFonts w:ascii="Calibri" w:hAnsi="Calibri"/>
        </w:rPr>
        <w:t>Umowa zostanie zawarta z Wykonawcą, którego oferta zostanie uznana za najkorzystniejszą, po zakończeniu czynności wymaganych Regulaminem RPOZ oraz po potwierdzeniu możliwości finansowania zadania, w tym zawarciu właściwej umowy dotacji, jeżeli będzie to wymagane.</w:t>
      </w:r>
    </w:p>
    <w:sectPr w:rsidR="00FC693F" w:rsidRPr="0006063C" w:rsidSect="00034616">
      <w:headerReference w:type="default" r:id="rId9"/>
      <w:footerReference w:type="default" r:id="rId10"/>
      <w:pgSz w:w="11906" w:h="16838"/>
      <w:pgMar w:top="1531" w:right="1361" w:bottom="1304" w:left="1361" w:header="369"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center"/>
    </w:pPr>
    <w:r>
      <w:rPr>
        <w:rFonts w:ascii="Calibri" w:hAnsi="Calibri"/>
        <w:color w:val="646464"/>
        <w:sz w:val="17"/>
      </w:rPr>
      <w:t>Zamawiający: Klasztor Znalezienia Krzyża Św. w Kalwarii Pacławskiej</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jc w:val="center"/>
      <w:tblLook w:firstColumn="1" w:firstRow="1" w:lastColumn="0" w:lastRow="0" w:noHBand="0" w:noVBand="1" w:val="04A0"/>
      <w:tblBorders>
        <w:top w:val="nil"/>
        <w:left w:val="nil"/>
        <w:bottom w:val="nil"/>
        <w:right w:val="nil"/>
        <w:insideH w:val="nil"/>
        <w:insideV w:val="nil"/>
      </w:tblBorders>
    </w:tblPr>
    <w:tblGrid>
      <w:gridCol w:w="3213"/>
      <w:gridCol w:w="3213"/>
      <w:gridCol w:w="3213"/>
    </w:tblGrid>
    <w:tr>
      <w:tc>
        <w:tcPr>
          <w:tcW w:type="dxa" w:w="2438"/>
          <w:vAlign w:val="center"/>
          <w:tcMar>
            <w:top w:w="0" w:type="dxa"/>
            <w:start w:w="20" w:type="dxa"/>
            <w:bottom w:w="0" w:type="dxa"/>
            <w:end w:w="20" w:type="dxa"/>
          </w:tcMar>
        </w:tcPr>
        <w:p>
          <w:pPr>
            <w:spacing w:after="0" w:before="0"/>
            <w:jc w:val="left"/>
          </w:pPr>
          <w:r>
            <w:drawing>
              <wp:inline xmlns:a="http://schemas.openxmlformats.org/drawingml/2006/main" xmlns:pic="http://schemas.openxmlformats.org/drawingml/2006/picture">
                <wp:extent cx="1080000" cy="387000"/>
                <wp:docPr id="1" name="Picture 1"/>
                <wp:cNvGraphicFramePr>
                  <a:graphicFrameLocks noChangeAspect="1"/>
                </wp:cNvGraphicFramePr>
                <a:graphic>
                  <a:graphicData uri="http://schemas.openxmlformats.org/drawingml/2006/picture">
                    <pic:pic>
                      <pic:nvPicPr>
                        <pic:cNvPr id="0" name="image.jpg"/>
                        <pic:cNvPicPr/>
                      </pic:nvPicPr>
                      <pic:blipFill>
                        <a:blip r:embed="rId1"/>
                        <a:stretch>
                          <a:fillRect/>
                        </a:stretch>
                      </pic:blipFill>
                      <pic:spPr>
                        <a:xfrm>
                          <a:off x="0" y="0"/>
                          <a:ext cx="1080000" cy="387000"/>
                        </a:xfrm>
                        <a:prstGeom prst="rect"/>
                      </pic:spPr>
                    </pic:pic>
                  </a:graphicData>
                </a:graphic>
              </wp:inline>
            </w:drawing>
          </w:r>
        </w:p>
      </w:tc>
      <w:tc>
        <w:tcPr>
          <w:tcW w:type="dxa" w:w="4762"/>
          <w:vAlign w:val="center"/>
          <w:tcMar>
            <w:top w:w="0" w:type="dxa"/>
            <w:start w:w="20" w:type="dxa"/>
            <w:bottom w:w="0" w:type="dxa"/>
            <w:end w:w="20" w:type="dxa"/>
          </w:tcMar>
        </w:tcPr>
        <w:p>
          <w:pPr>
            <w:spacing w:after="0" w:before="0"/>
            <w:jc w:val="center"/>
          </w:pPr>
          <w:r>
            <w:rPr>
              <w:rFonts w:ascii="Calibri" w:hAnsi="Calibri" w:eastAsia="Calibri"/>
              <w:b/>
              <w:sz w:val="14"/>
            </w:rPr>
            <w:t>Rządowy Program Odbudowy Zabytków / Polski Ład</w:t>
            <w:br/>
          </w:r>
          <w:r>
            <w:rPr>
              <w:rFonts w:ascii="Calibri" w:hAnsi="Calibri" w:eastAsia="Calibri"/>
              <w:b w:val="0"/>
              <w:sz w:val="14"/>
            </w:rPr>
            <w:t>Wstępna Promesa RPOZ nr RPOZ/2022/13111/PolskiLad</w:t>
          </w:r>
        </w:p>
      </w:tc>
      <w:tc>
        <w:tcPr>
          <w:tcW w:type="dxa" w:w="2438"/>
          <w:vAlign w:val="center"/>
          <w:tcMar>
            <w:top w:w="0" w:type="dxa"/>
            <w:start w:w="20" w:type="dxa"/>
            <w:bottom w:w="0" w:type="dxa"/>
            <w:end w:w="20" w:type="dxa"/>
          </w:tcMar>
        </w:tcPr>
        <w:p>
          <w:pPr>
            <w:spacing w:after="0" w:before="0"/>
            <w:jc w:val="right"/>
          </w:pPr>
          <w:r>
            <w:drawing>
              <wp:inline xmlns:a="http://schemas.openxmlformats.org/drawingml/2006/main" xmlns:pic="http://schemas.openxmlformats.org/drawingml/2006/picture">
                <wp:extent cx="522000" cy="412304"/>
                <wp:docPr id="2" name="Picture 2"/>
                <wp:cNvGraphicFramePr>
                  <a:graphicFrameLocks noChangeAspect="1"/>
                </wp:cNvGraphicFramePr>
                <a:graphic>
                  <a:graphicData uri="http://schemas.openxmlformats.org/drawingml/2006/picture">
                    <pic:pic>
                      <pic:nvPicPr>
                        <pic:cNvPr id="0" name="image.jpg"/>
                        <pic:cNvPicPr/>
                      </pic:nvPicPr>
                      <pic:blipFill>
                        <a:blip r:embed="rId2"/>
                        <a:stretch>
                          <a:fillRect/>
                        </a:stretch>
                      </pic:blipFill>
                      <pic:spPr>
                        <a:xfrm>
                          <a:off x="0" y="0"/>
                          <a:ext cx="522000" cy="412304"/>
                        </a:xfrm>
                        <a:prstGeom prst="rect"/>
                      </pic:spPr>
                    </pic:pic>
                  </a:graphicData>
                </a:graphic>
              </wp:inline>
            </w:drawing>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color w:val="14141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jpeg"/><Relationship Id="rId12"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postępowania zakupowego</dc:title>
  <dc:subject>Remont zabytkowych kaplic z grupy Gradusy - kaplicy "Pierwszy Upadek" i "Włożenie Krzyża", Klasztoru Znalezienia Krzyża Św. w Kalwarii Pacławskiej</dc:subject>
  <dc:creator>Klasztor Znalezienia Krzyża Św. Zakonu Braci Mniejszych Konwentualnych (Franciszkanów) w Kalwarii Pacławskiej</dc:creator>
  <cp:keywords/>
  <dc:description>generated by python-docx</dc:description>
  <cp:lastModifiedBy/>
  <cp:revision>1</cp:revision>
  <dcterms:created xsi:type="dcterms:W3CDTF">2013-12-23T23:15:00Z</dcterms:created>
  <dcterms:modified xsi:type="dcterms:W3CDTF">2013-12-23T23:15:00Z</dcterms:modified>
  <cp:category/>
</cp:coreProperties>
</file>