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spacing w:before="160" w:after="80" w:line="240" w:lineRule="auto"/>
      </w:pPr>
      <w:r>
        <w:rPr>
          <w:rFonts w:ascii="Calibri" w:hAnsi="Calibri"/>
          <w:b/>
          <w:color w:val="141414"/>
          <w:sz w:val="40"/>
        </w:rPr>
        <w:t>Ogłoszenie o postępowaniu zakupowym</w:t>
      </w:r>
    </w:p>
    <w:p>
      <w:pPr>
        <w:spacing w:before="0" w:after="140" w:line="240" w:lineRule="auto"/>
        <w:jc w:val="right"/>
      </w:pPr>
      <w:r>
        <w:rPr>
          <w:rFonts w:ascii="Calibri" w:hAnsi="Calibri" w:eastAsia="Calibri"/>
          <w:b/>
          <w:sz w:val="18"/>
        </w:rPr>
        <w:t>L.Dz. 20/2026/GF</w:t>
      </w:r>
    </w:p>
    <w:p>
      <w:pPr>
        <w:spacing w:before="0" w:after="240" w:line="264" w:lineRule="auto"/>
      </w:pPr>
      <w:r>
        <w:rPr>
          <w:rFonts w:ascii="Calibri" w:hAnsi="Calibri"/>
          <w:color w:val="646464"/>
          <w:sz w:val="24"/>
        </w:rPr>
        <w:t>Postępowanie zakupowe Beneficjenta dotacji prowadzone poza ustawą Prawo zamówień publicznych</w:t>
      </w:r>
    </w:p>
    <w:tbl>
      <w:tblPr>
        <w:tblW w:type="dxa" w:w="9029"/>
        <w:tblLook w:firstColumn="1" w:firstRow="1" w:lastColumn="0" w:lastRow="0" w:noHBand="0" w:noVBand="1" w:val="04A0"/>
        <w:tblInd w:w="120" w:type="dxa"/>
        <w:tblLayout w:type="fixed"/>
        <w:tblBorders>
          <w:top w:val="single" w:sz="4" w:space="0" w:color="D9DEE7"/>
          <w:left w:val="single" w:sz="4" w:space="0" w:color="D9DEE7"/>
          <w:bottom w:val="single" w:sz="4" w:space="0" w:color="D9DEE7"/>
          <w:right w:val="single" w:sz="4" w:space="0" w:color="D9DEE7"/>
          <w:insideH w:val="single" w:sz="4" w:space="0" w:color="D9DEE7"/>
          <w:insideV w:val="single" w:sz="4" w:space="0" w:color="D9DEE7"/>
        </w:tblBorders>
      </w:tblPr>
      <w:tblGrid>
        <w:gridCol w:w="2550"/>
        <w:gridCol w:w="6479"/>
      </w:tblGrid>
      <w:tr>
        <w:tc>
          <w:tcPr>
            <w:tcW w:type="dxa" w:w="255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1"/>
              </w:rPr>
              <w:t>Zamawiający</w:t>
            </w:r>
          </w:p>
        </w:tc>
        <w:tc>
          <w:tcPr>
            <w:tcW w:type="dxa" w:w="6479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Klasztor Znalezienia Krzyża Św. Zakonu Braci Mniejszych Konwentualnych (Franciszkanów) w Kalwarii Pacławskiej, Kalwaria Pacławska 40, 37-743 Kalwaria Pacławska, NIP: 7951803096, REGON: 040013388</w:t>
            </w:r>
          </w:p>
        </w:tc>
      </w:tr>
      <w:tr>
        <w:tc>
          <w:tcPr>
            <w:tcW w:type="dxa" w:w="255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1"/>
              </w:rPr>
              <w:t>Operator techniczny</w:t>
            </w:r>
          </w:p>
        </w:tc>
        <w:tc>
          <w:tcPr>
            <w:tcW w:type="dxa" w:w="6479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color w:val="141414"/>
                <w:sz w:val="22"/>
              </w:rPr>
              <w:t>Gmina Fredropol, Fredropol 15, 37-734 Fredropol - wsparcie techniczne w publikacji ogłoszenia i dokumentów na stronie Gminy; bez przyjmowania ofert</w:t>
            </w:r>
          </w:p>
        </w:tc>
      </w:tr>
      <w:tr>
        <w:tc>
          <w:tcPr>
            <w:tcW w:type="dxa" w:w="255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1"/>
              </w:rPr>
              <w:t>Nazwa zadania</w:t>
            </w:r>
          </w:p>
        </w:tc>
        <w:tc>
          <w:tcPr>
            <w:tcW w:type="dxa" w:w="6479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Remont zabytkowych kaplic z grupy Gradusy - kaplicy „Pierwszy Upadek” i „Włożenie Krzyża”, Klasztoru Znalezienia Krzyża Św. w Kalwarii Pacławskiej</w:t>
            </w:r>
          </w:p>
        </w:tc>
      </w:tr>
      <w:tr>
        <w:tc>
          <w:tcPr>
            <w:tcW w:type="dxa" w:w="255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1"/>
              </w:rPr>
              <w:t>Program</w:t>
            </w:r>
          </w:p>
        </w:tc>
        <w:tc>
          <w:tcPr>
            <w:tcW w:type="dxa" w:w="6479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Rządowy Program Odbudowy Zabytków / Polski Ład, Wstępna Promesa RPOZ nr RPOZ/2022/13111/PolskiLad</w:t>
            </w:r>
          </w:p>
        </w:tc>
      </w:tr>
      <w:tr>
        <w:tc>
          <w:tcPr>
            <w:tcW w:type="dxa" w:w="255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1"/>
              </w:rPr>
              <w:t>Wartość szacunkowa</w:t>
            </w:r>
          </w:p>
        </w:tc>
        <w:tc>
          <w:tcPr>
            <w:tcW w:type="dxa" w:w="6479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179 323,92 zł netto, 41 244,50 zł VAT, 220 568,42 zł brutto</w:t>
            </w:r>
          </w:p>
        </w:tc>
      </w:tr>
    </w:tbl>
    <w:p/>
    <w:tbl>
      <w:tblPr>
        <w:tblW w:type="dxa" w:w="9029"/>
        <w:tblLook w:firstColumn="1" w:firstRow="1" w:lastColumn="0" w:lastRow="0" w:noHBand="0" w:noVBand="1" w:val="04A0"/>
        <w:tblInd w:w="120" w:type="dxa"/>
        <w:tblLayout w:type="fixed"/>
        <w:tblBorders>
          <w:top w:val="single" w:sz="6" w:space="0" w:color="C9D4E5"/>
          <w:left w:val="single" w:sz="6" w:space="0" w:color="C9D4E5"/>
          <w:bottom w:val="single" w:sz="6" w:space="0" w:color="C9D4E5"/>
          <w:right w:val="single" w:sz="6" w:space="0" w:color="C9D4E5"/>
          <w:insideH w:val="single" w:sz="6" w:space="0" w:color="C9D4E5"/>
          <w:insideV w:val="single" w:sz="6" w:space="0" w:color="C9D4E5"/>
        </w:tblBorders>
      </w:tblPr>
      <w:tblGrid>
        <w:gridCol w:w="9029"/>
      </w:tblGrid>
      <w:tr>
        <w:tc>
          <w:tcPr>
            <w:tcW w:type="dxa" w:w="9029"/>
            <w:tcMar>
              <w:top w:w="130" w:type="dxa"/>
              <w:start w:w="160" w:type="dxa"/>
              <w:bottom w:w="130" w:type="dxa"/>
              <w:end w:w="160" w:type="dxa"/>
            </w:tcMar>
            <w:vAlign w:val="center"/>
            <w:shd w:fill="F4F6F9"/>
          </w:tcPr>
          <w:p>
            <w:pPr>
              <w:spacing w:before="0" w:after="60" w:line="264" w:lineRule="auto"/>
            </w:pPr>
            <w:r>
              <w:rPr>
                <w:rFonts w:ascii="Calibri" w:hAnsi="Calibri"/>
                <w:b/>
                <w:color w:val="1F4D78"/>
              </w:rPr>
              <w:t>Podstawa i charakter postępowania</w:t>
            </w:r>
          </w:p>
          <w:p>
            <w:pPr>
              <w:spacing w:before="0" w:after="0" w:line="264" w:lineRule="auto"/>
            </w:pPr>
            <w:r>
              <w:rPr>
                <w:rFonts w:ascii="Calibri" w:hAnsi="Calibri"/>
                <w:color w:val="141414"/>
              </w:rPr>
              <w:t>Postępowanie nie jest prowadzone na podstawie ustawy Prawo zamówień publicznych. Zamawiającym jest Klasztor, który nie jest zamawiającym publicznym w rozumieniu art. 4 Pzp, a wartość zamówienia nie osiąga progów unijnych właściwych dla zamawiającego subsydiowanego z art. 6 Pzp. Postępowanie prowadzone jest konkurencyjnie i transparentnie zgodnie z warunkami Wstępnej Promesy RPOZ.</w:t>
            </w:r>
          </w:p>
        </w:tc>
      </w:tr>
    </w:tbl>
    <w:p/>
    <w:p>
      <w:pPr>
        <w:pStyle w:val="Heading1"/>
        <w:spacing w:before="280" w:after="140" w:line="252" w:lineRule="auto"/>
      </w:pPr>
      <w:r>
        <w:t>1. Przedmiot zamówienia</w:t>
      </w:r>
    </w:p>
    <w:p>
      <w:pPr>
        <w:spacing w:before="0" w:after="120" w:line="264" w:lineRule="auto"/>
      </w:pPr>
      <w:r>
        <w:rPr>
          <w:rFonts w:ascii="Calibri" w:hAnsi="Calibri"/>
        </w:rPr>
        <w:t>Przedmiotem zamówienia jest wykonanie robót budowlano-konserwatorskich przy zabytkowych kaplicach z grupy Gradusy: kaplicy „Pierwszy Upadek” i kaplicy „Włożenie Krzyża”.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Kaplica „Pierwszy Upadek” - działka nr ewid. 233, obręb 0007 Kalwaria Pacławska.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Kaplica „Włożenie Krzyża” - działka nr ewid. 235, obręb 0017 Nowosiółki Dydyńskie.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Obiekty stanowią zabytkowe kaplice i prace będą wykonywane zgodnie z dokumentacją projektową, przedmiarem, decyzjami oraz wymaganiami Podkarpackiego Wojewódzkiego Konserwatora Zabytków.</w:t>
      </w:r>
    </w:p>
    <w:p>
      <w:pPr>
        <w:pStyle w:val="Heading1"/>
        <w:spacing w:before="280" w:after="140" w:line="252" w:lineRule="auto"/>
      </w:pPr>
      <w:r>
        <w:t>2. Zakres robót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roboty ziemne, izolacje pionowe i poziome oraz drenaż opaskowy;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odtworzenie płyt odbojowych z elementów kamiennych;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renowacja elewacji, usunięcie zniszczonych tynków, odsolenie murów, tynki renowacyjne, gruntowanie, malowanie, hydrofobizacja i scalenie kolorystyczne;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remont i konserwacja ślusarki okiennej i drzwiowej;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remont dachów, w tym rozbiórka pokrycia, naprawa/wymiana elementów więźby, deskowanie, impregnacja, pokrycie z blachy tytan-cynk, obróbki, rynny, rury spustowe i podbitki;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roboty porządkowe i zabezpieczenie terenu prac.</w:t>
      </w:r>
    </w:p>
    <w:p>
      <w:pPr>
        <w:pStyle w:val="Heading1"/>
        <w:spacing w:before="280" w:after="140" w:line="252" w:lineRule="auto"/>
      </w:pPr>
      <w:r>
        <w:t>3. Terminy</w:t>
      </w:r>
    </w:p>
    <w:tbl>
      <w:tblPr>
        <w:tblW w:type="dxa" w:w="9029"/>
        <w:tblLook w:firstColumn="1" w:firstRow="1" w:lastColumn="0" w:lastRow="0" w:noHBand="0" w:noVBand="1" w:val="04A0"/>
        <w:tblInd w:w="120" w:type="dxa"/>
        <w:tblLayout w:type="fixed"/>
        <w:tblBorders>
          <w:top w:val="single" w:sz="4" w:space="0" w:color="D9DEE7"/>
          <w:left w:val="single" w:sz="4" w:space="0" w:color="D9DEE7"/>
          <w:bottom w:val="single" w:sz="4" w:space="0" w:color="D9DEE7"/>
          <w:right w:val="single" w:sz="4" w:space="0" w:color="D9DEE7"/>
          <w:insideH w:val="single" w:sz="4" w:space="0" w:color="D9DEE7"/>
          <w:insideV w:val="single" w:sz="4" w:space="0" w:color="D9DEE7"/>
        </w:tblBorders>
      </w:tblPr>
      <w:tblGrid>
        <w:gridCol w:w="3600"/>
        <w:gridCol w:w="5429"/>
      </w:tblGrid>
      <w:tr>
        <w:tc>
          <w:tcPr>
            <w:tcW w:type="dxa" w:w="36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0"/>
              </w:rPr>
              <w:t>Czynność</w:t>
            </w:r>
          </w:p>
        </w:tc>
        <w:tc>
          <w:tcPr>
            <w:tcW w:type="dxa" w:w="5429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2F4F7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/>
                <w:color w:val="1F4D78"/>
                <w:sz w:val="20"/>
              </w:rPr>
              <w:t>Termin</w:t>
            </w:r>
          </w:p>
        </w:tc>
      </w:tr>
      <w:tr>
        <w:tc>
          <w:tcPr>
            <w:tcW w:type="dxa" w:w="360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Publikacja ogłoszenia</w:t>
            </w:r>
          </w:p>
        </w:tc>
        <w:tc>
          <w:tcPr>
            <w:tcW w:type="dxa" w:w="5429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03.07.2026 r.</w:t>
            </w:r>
          </w:p>
        </w:tc>
      </w:tr>
      <w:tr>
        <w:tc>
          <w:tcPr>
            <w:tcW w:type="dxa" w:w="360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Termin zadawania pytań</w:t>
            </w:r>
          </w:p>
        </w:tc>
        <w:tc>
          <w:tcPr>
            <w:tcW w:type="dxa" w:w="5429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24 lipca 2026 r. do godz. 12:00</w:t>
            </w:r>
          </w:p>
        </w:tc>
      </w:tr>
      <w:tr>
        <w:tc>
          <w:tcPr>
            <w:tcW w:type="dxa" w:w="360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Planowany termin publikacji odpowiedzi</w:t>
            </w:r>
          </w:p>
        </w:tc>
        <w:tc>
          <w:tcPr>
            <w:tcW w:type="dxa" w:w="5429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28 lipca 2026 r.</w:t>
            </w:r>
          </w:p>
        </w:tc>
      </w:tr>
      <w:tr>
        <w:tc>
          <w:tcPr>
            <w:tcW w:type="dxa" w:w="360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Termin składania ofert</w:t>
            </w:r>
          </w:p>
        </w:tc>
        <w:tc>
          <w:tcPr>
            <w:tcW w:type="dxa" w:w="5429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3 sierpnia 2026 r. do godz. 12:00</w:t>
            </w:r>
          </w:p>
        </w:tc>
      </w:tr>
      <w:tr>
        <w:tc>
          <w:tcPr>
            <w:tcW w:type="dxa" w:w="360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Otwarcie ofert</w:t>
            </w:r>
          </w:p>
        </w:tc>
        <w:tc>
          <w:tcPr>
            <w:tcW w:type="dxa" w:w="5429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3 sierpnia 2026 r. o godz. 12:15</w:t>
            </w:r>
          </w:p>
        </w:tc>
      </w:tr>
      <w:tr>
        <w:tc>
          <w:tcPr>
            <w:tcW w:type="dxa" w:w="360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Termin związania ofertą</w:t>
            </w:r>
          </w:p>
        </w:tc>
        <w:tc>
          <w:tcPr>
            <w:tcW w:type="dxa" w:w="5429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do 2 września 2026 r.</w:t>
            </w:r>
          </w:p>
        </w:tc>
      </w:tr>
      <w:tr>
        <w:tc>
          <w:tcPr>
            <w:tcW w:type="dxa" w:w="3600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Termin wykonania robót</w:t>
            </w:r>
          </w:p>
        </w:tc>
        <w:tc>
          <w:tcPr>
            <w:tcW w:type="dxa" w:w="5429"/>
          </w:tcPr>
          <w:p>
            <w:pPr>
              <w:spacing w:before="0" w:after="0" w:line="259" w:lineRule="auto"/>
            </w:pPr>
            <w:r>
              <w:rPr>
                <w:rFonts w:ascii="Calibri" w:hAnsi="Calibri"/>
                <w:b w:val="0"/>
                <w:color w:val="141414"/>
                <w:sz w:val="20"/>
              </w:rPr>
              <w:t>do 30 listopada 2026 r.</w:t>
            </w:r>
          </w:p>
        </w:tc>
      </w:tr>
    </w:tbl>
    <w:p/>
    <w:p>
      <w:pPr>
        <w:pStyle w:val="Heading1"/>
        <w:spacing w:before="280" w:after="140" w:line="252" w:lineRule="auto"/>
      </w:pPr>
      <w:r>
        <w:t>4. Sposób złożenia oferty</w:t>
      </w:r>
    </w:p>
    <w:p>
      <w:pPr>
        <w:spacing w:before="0" w:after="120" w:line="264" w:lineRule="auto"/>
      </w:pPr>
      <w:r>
        <w:rPr>
          <w:rFonts w:ascii="Calibri" w:hAnsi="Calibri"/>
          <w:color w:val="141414"/>
          <w:sz w:val="22"/>
        </w:rPr>
        <w:t>Ofertę należy złożyć wyłącznie w formie papierowej. Komplet dokumentów ofertowych musi zostać doręczony Zamawiającemu przed upływem terminu składania ofert, tj. do dnia 3 sierpnia 2026 r. do godz. 12:00, na adres: Klasztor Znalezienia Krzyża Św. Zakonu Braci Mniejszych Konwentualnych (Franciszkanów) w Kalwarii Pacławskiej, Kalwaria Pacławska 40, 37-743 Kalwaria Pacławska. Ofertę należy złożyć osobiście, przez posłańca albo przesyłką pocztową/kurierską, przy czym decyduje data i godzina wpływu do Zamawiającego, a nie data nadania. Ofertę należy umieścić w zamkniętej kopercie opisanej: "Oferta - Remont zabytkowych kaplic z grupy Gradusy - nie otwierać przed terminem otwarcia ofert".</w:t>
      </w:r>
    </w:p>
    <w:p>
      <w:pPr>
        <w:pStyle w:val="Heading1"/>
        <w:spacing w:before="280" w:after="140" w:line="252" w:lineRule="auto"/>
      </w:pPr>
      <w:r>
        <w:t>5. Kryterium wyboru</w:t>
      </w:r>
    </w:p>
    <w:p>
      <w:pPr>
        <w:spacing w:before="0" w:after="120" w:line="264" w:lineRule="auto"/>
      </w:pPr>
      <w:r>
        <w:rPr>
          <w:rFonts w:ascii="Calibri" w:hAnsi="Calibri"/>
        </w:rPr>
        <w:t>Jedynym kryterium wyboru oferty jest cena brutto - 100%. Warunki doświadczenia, personelu i kompletności dokumentów są oceniane w formule spełnia/nie spełnia.</w:t>
      </w:r>
    </w:p>
    <w:p>
      <w:pPr>
        <w:pStyle w:val="Heading1"/>
        <w:spacing w:before="280" w:after="140" w:line="252" w:lineRule="auto"/>
      </w:pPr>
      <w:r>
        <w:t>6. Załączniki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Warunki postępowania zakupowego.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Formularz ofertowy.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Oświadczenia Wykonawcy.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Wykaz robót i referencji.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Wykaz osób.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Projekt umowy.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Przedmiar robót i dokumentacja projektowa.</w:t>
      </w:r>
    </w:p>
    <w:p/>
    <w:tbl>
      <w:tblPr>
        <w:tblW w:type="dxa" w:w="9029"/>
        <w:tblLook w:firstColumn="1" w:firstRow="1" w:lastColumn="0" w:lastRow="0" w:noHBand="0" w:noVBand="1" w:val="04A0"/>
        <w:tblInd w:w="0" w:type="dxa"/>
        <w:tblLayout w:type="fixed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4514"/>
        <w:gridCol w:w="4515"/>
      </w:tblGrid>
      <w:tr>
        <w:tc>
          <w:tcPr>
            <w:tcW w:type="dxa" w:w="451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  <w:jc w:val="center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........................................................</w:t>
              <w:br/>
              <w:t>o. Marian Gołąb OFMConv</w:t>
              <w:br/>
              <w:t>Gwardian Klasztoru</w:t>
            </w:r>
          </w:p>
        </w:tc>
        <w:tc>
          <w:tcPr>
            <w:tcW w:type="dxa" w:w="4515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  <w:jc w:val="center"/>
            </w:pPr>
            <w:r>
              <w:rPr>
                <w:rFonts w:ascii="Calibri" w:hAnsi="Calibri"/>
                <w:b w:val="0"/>
                <w:color w:val="141414"/>
                <w:sz w:val="21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531" w:right="1361" w:bottom="1304" w:left="1361" w:header="369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Calibri" w:hAnsi="Calibri"/>
        <w:color w:val="646464"/>
        <w:sz w:val="17"/>
      </w:rPr>
      <w:t>Zamawiający: Klasztor Znalezienia Krzyża Św. w Kalwarii Pacławskiej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3213"/>
      <w:gridCol w:w="3213"/>
      <w:gridCol w:w="3213"/>
    </w:tblGrid>
    <w:tr>
      <w:tc>
        <w:tcPr>
          <w:tcW w:type="dxa" w:w="2438"/>
          <w:vAlign w:val="center"/>
          <w:tcMar>
            <w:top w:w="0" w:type="dxa"/>
            <w:start w:w="20" w:type="dxa"/>
            <w:bottom w:w="0" w:type="dxa"/>
            <w:end w:w="20" w:type="dxa"/>
          </w:tcMar>
        </w:tcPr>
        <w:p>
          <w:pPr>
            <w:spacing w:after="0" w:before="0"/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080000" cy="387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87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762"/>
          <w:vAlign w:val="center"/>
          <w:tcMar>
            <w:top w:w="0" w:type="dxa"/>
            <w:start w:w="20" w:type="dxa"/>
            <w:bottom w:w="0" w:type="dxa"/>
            <w:end w:w="20" w:type="dxa"/>
          </w:tcMar>
        </w:tcPr>
        <w:p>
          <w:pPr>
            <w:spacing w:after="0" w:before="0"/>
            <w:jc w:val="center"/>
          </w:pPr>
          <w:r>
            <w:rPr>
              <w:rFonts w:ascii="Calibri" w:hAnsi="Calibri" w:eastAsia="Calibri"/>
              <w:b/>
              <w:sz w:val="14"/>
            </w:rPr>
            <w:t>Rządowy Program Odbudowy Zabytków / Polski Ład</w:t>
            <w:br/>
          </w:r>
          <w:r>
            <w:rPr>
              <w:rFonts w:ascii="Calibri" w:hAnsi="Calibri" w:eastAsia="Calibri"/>
              <w:b w:val="0"/>
              <w:sz w:val="14"/>
            </w:rPr>
            <w:t>Wstępna Promesa RPOZ nr RPOZ/2022/13111/PolskiLad</w:t>
          </w:r>
        </w:p>
      </w:tc>
      <w:tc>
        <w:tcPr>
          <w:tcW w:type="dxa" w:w="2438"/>
          <w:vAlign w:val="center"/>
          <w:tcMar>
            <w:top w:w="0" w:type="dxa"/>
            <w:start w:w="20" w:type="dxa"/>
            <w:bottom w:w="0" w:type="dxa"/>
            <w:end w:w="20" w:type="dxa"/>
          </w:tcMar>
        </w:tcPr>
        <w:p>
          <w:pPr>
            <w:spacing w:after="0" w:before="0"/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522000" cy="412304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412304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color w:val="14141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eg"/><Relationship Id="rId12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postępowaniu zakupowym</dc:title>
  <dc:subject>Remont zabytkowych kaplic z grupy Gradusy - kaplicy "Pierwszy Upadek" i "Włożenie Krzyża", Klasztoru Znalezienia Krzyża Św. w Kalwarii Pacławskiej</dc:subject>
  <dc:creator>Klasztor Znalezienia Krzyża Św. Zakonu Braci Mniejszych Konwentualnych (Franciszkanów) w Kalwarii Pacławskiej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