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94" w:rsidRDefault="00182FB4" w:rsidP="00E01094">
      <w:pPr>
        <w:spacing w:after="0" w:line="240" w:lineRule="auto"/>
        <w:ind w:left="720" w:hanging="720"/>
        <w:jc w:val="center"/>
      </w:pPr>
      <w:r>
        <w:rPr>
          <w:noProof/>
        </w:rPr>
        <w:drawing>
          <wp:inline distT="0" distB="0" distL="0" distR="0" wp14:anchorId="01ABC297" wp14:editId="3554DEAB">
            <wp:extent cx="5760720" cy="548351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_kolor_pro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8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094" w:rsidRDefault="00E01094" w:rsidP="00E01094">
      <w:pPr>
        <w:spacing w:after="0" w:line="240" w:lineRule="auto"/>
        <w:ind w:left="720" w:hanging="720"/>
        <w:jc w:val="center"/>
      </w:pPr>
    </w:p>
    <w:p w:rsidR="00182FB4" w:rsidRPr="00182FB4" w:rsidRDefault="00182FB4" w:rsidP="00182FB4">
      <w:pPr>
        <w:autoSpaceDE w:val="0"/>
        <w:autoSpaceDN w:val="0"/>
        <w:adjustRightInd w:val="0"/>
        <w:spacing w:after="0" w:line="240" w:lineRule="auto"/>
        <w:rPr>
          <w:rFonts w:ascii="Roboto-Light" w:eastAsia="Calibri" w:hAnsi="Roboto-Light" w:cs="Roboto-Light"/>
          <w:sz w:val="12"/>
          <w:szCs w:val="12"/>
        </w:rPr>
      </w:pPr>
      <w:r w:rsidRPr="00182FB4">
        <w:rPr>
          <w:rFonts w:eastAsia="Times New Roman" w:cs="Times New Roman"/>
          <w:sz w:val="16"/>
          <w:szCs w:val="16"/>
          <w:lang w:eastAsia="pl-PL"/>
        </w:rPr>
        <w:t xml:space="preserve">                   </w:t>
      </w:r>
      <w:r w:rsidRPr="00182FB4">
        <w:rPr>
          <w:rFonts w:eastAsia="Calibri" w:cs="Times New Roman"/>
          <w:sz w:val="16"/>
          <w:szCs w:val="16"/>
        </w:rPr>
        <w:t>„Europejski Fundusz Rolny na rzecz Rozwoju Obszarów Wiejskich: Europa inwestująca w obszary wiejskie</w:t>
      </w:r>
      <w:r w:rsidRPr="00182FB4">
        <w:rPr>
          <w:rFonts w:ascii="Roboto-Light" w:eastAsia="Calibri" w:hAnsi="Roboto-Light" w:cs="Roboto-Light"/>
          <w:sz w:val="12"/>
          <w:szCs w:val="12"/>
        </w:rPr>
        <w:t>”</w:t>
      </w:r>
    </w:p>
    <w:p w:rsidR="00E01094" w:rsidRDefault="00E01094" w:rsidP="00E01094">
      <w:pPr>
        <w:spacing w:after="0" w:line="240" w:lineRule="auto"/>
        <w:ind w:left="720" w:hanging="720"/>
        <w:jc w:val="center"/>
      </w:pPr>
    </w:p>
    <w:p w:rsidR="00E01094" w:rsidRDefault="00E01094" w:rsidP="00E01094">
      <w:pPr>
        <w:spacing w:after="0" w:line="240" w:lineRule="auto"/>
        <w:ind w:left="720" w:hanging="720"/>
        <w:jc w:val="center"/>
      </w:pPr>
    </w:p>
    <w:p w:rsidR="00E01094" w:rsidRDefault="00E01094" w:rsidP="00E01094">
      <w:pPr>
        <w:spacing w:after="0" w:line="240" w:lineRule="auto"/>
        <w:ind w:left="720" w:hanging="720"/>
        <w:jc w:val="center"/>
      </w:pPr>
    </w:p>
    <w:p w:rsidR="00182FB4" w:rsidRDefault="00182FB4" w:rsidP="00E01094">
      <w:pPr>
        <w:spacing w:after="0" w:line="240" w:lineRule="auto"/>
        <w:ind w:left="720" w:hanging="720"/>
        <w:jc w:val="center"/>
      </w:pPr>
      <w:bookmarkStart w:id="0" w:name="_GoBack"/>
      <w:bookmarkEnd w:id="0"/>
    </w:p>
    <w:p w:rsidR="00E01094" w:rsidRPr="00E01094" w:rsidRDefault="00E01094" w:rsidP="00E01094">
      <w:pPr>
        <w:spacing w:after="0" w:line="360" w:lineRule="auto"/>
        <w:ind w:left="720" w:hanging="720"/>
        <w:jc w:val="center"/>
        <w:rPr>
          <w:sz w:val="28"/>
          <w:szCs w:val="28"/>
        </w:rPr>
      </w:pPr>
      <w:r w:rsidRPr="00E01094">
        <w:rPr>
          <w:sz w:val="28"/>
          <w:szCs w:val="28"/>
        </w:rPr>
        <w:t>Informacja</w:t>
      </w:r>
    </w:p>
    <w:p w:rsidR="00E01094" w:rsidRPr="00E01094" w:rsidRDefault="00182FB4" w:rsidP="00E01094">
      <w:pPr>
        <w:spacing w:after="0" w:line="360" w:lineRule="auto"/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o zakończonym postę</w:t>
      </w:r>
      <w:r w:rsidR="00E01094" w:rsidRPr="00E01094">
        <w:rPr>
          <w:sz w:val="28"/>
          <w:szCs w:val="28"/>
        </w:rPr>
        <w:t>powaniu przetargowym na</w:t>
      </w:r>
    </w:p>
    <w:p w:rsidR="00182FB4" w:rsidRPr="00182FB4" w:rsidRDefault="00182FB4" w:rsidP="00182FB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 w:val="28"/>
          <w:szCs w:val="28"/>
          <w:lang w:eastAsia="pl-PL"/>
        </w:rPr>
      </w:pPr>
      <w:r w:rsidRPr="00182FB4">
        <w:rPr>
          <w:rFonts w:eastAsia="Times New Roman" w:cs="Times New Roman"/>
          <w:b/>
          <w:sz w:val="28"/>
          <w:szCs w:val="28"/>
          <w:lang w:eastAsia="pl-PL"/>
        </w:rPr>
        <w:t>„</w:t>
      </w:r>
      <w:r w:rsidRPr="00182FB4">
        <w:rPr>
          <w:rFonts w:eastAsia="Calibri" w:cs="Times New Roman"/>
          <w:sz w:val="28"/>
          <w:szCs w:val="28"/>
          <w:lang w:eastAsia="pl-PL"/>
        </w:rPr>
        <w:t>Remont - konserwacja i restauracja zabytkowego ogrodzenia kaplicy grobowej Tyszkowskich w Kalwarii Pacławskiej”.</w:t>
      </w:r>
    </w:p>
    <w:p w:rsidR="00E01094" w:rsidRPr="00E01094" w:rsidRDefault="00E01094" w:rsidP="00E01094">
      <w:pPr>
        <w:spacing w:after="0" w:line="360" w:lineRule="auto"/>
        <w:ind w:left="720" w:hanging="720"/>
        <w:rPr>
          <w:rFonts w:eastAsia="Times New Roman" w:cs="Times New Roman"/>
          <w:b/>
          <w:bCs/>
          <w:sz w:val="28"/>
          <w:szCs w:val="28"/>
          <w:lang w:eastAsia="pl-PL"/>
        </w:rPr>
      </w:pPr>
    </w:p>
    <w:p w:rsidR="00182FB4" w:rsidRDefault="00182FB4" w:rsidP="00182FB4">
      <w:pPr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sz w:val="28"/>
          <w:szCs w:val="28"/>
        </w:rPr>
        <w:tab/>
      </w:r>
      <w:r w:rsidR="008F42AC" w:rsidRPr="00E01094">
        <w:rPr>
          <w:sz w:val="28"/>
          <w:szCs w:val="28"/>
        </w:rPr>
        <w:t xml:space="preserve">Unieważnia się postępowanie z uwagi na to, </w:t>
      </w:r>
      <w:r w:rsidR="008F42AC" w:rsidRPr="00182FB4">
        <w:rPr>
          <w:sz w:val="28"/>
          <w:szCs w:val="28"/>
        </w:rPr>
        <w:t xml:space="preserve">że </w:t>
      </w:r>
      <w:r w:rsidRPr="00182FB4">
        <w:rPr>
          <w:rFonts w:eastAsia="Times New Roman" w:cs="Times New Roman"/>
          <w:sz w:val="28"/>
          <w:szCs w:val="28"/>
          <w:lang w:eastAsia="pl-PL"/>
        </w:rPr>
        <w:t xml:space="preserve"> nie złożono żadnej oferty niepodlegającej odrzuceniu</w:t>
      </w:r>
      <w:r>
        <w:rPr>
          <w:rFonts w:eastAsia="Times New Roman" w:cs="Times New Roman"/>
          <w:sz w:val="28"/>
          <w:szCs w:val="28"/>
          <w:lang w:eastAsia="pl-PL"/>
        </w:rPr>
        <w:t>.</w:t>
      </w:r>
    </w:p>
    <w:p w:rsidR="00182FB4" w:rsidRDefault="00182FB4" w:rsidP="00182FB4">
      <w:pPr>
        <w:jc w:val="both"/>
        <w:rPr>
          <w:rFonts w:eastAsia="Times New Roman" w:cs="Times New Roman"/>
          <w:sz w:val="28"/>
          <w:szCs w:val="28"/>
          <w:lang w:eastAsia="pl-PL"/>
        </w:rPr>
      </w:pPr>
    </w:p>
    <w:p w:rsidR="00E01094" w:rsidRPr="00182FB4" w:rsidRDefault="00E01094" w:rsidP="00182FB4">
      <w:pPr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sz w:val="28"/>
          <w:szCs w:val="28"/>
        </w:rPr>
        <w:t xml:space="preserve">Kalwaria Pacławska dnia </w:t>
      </w:r>
      <w:r w:rsidR="00182FB4">
        <w:rPr>
          <w:sz w:val="28"/>
          <w:szCs w:val="28"/>
        </w:rPr>
        <w:t>11.07.2018r.</w:t>
      </w:r>
      <w:r>
        <w:rPr>
          <w:sz w:val="28"/>
          <w:szCs w:val="28"/>
        </w:rPr>
        <w:t>.</w:t>
      </w:r>
    </w:p>
    <w:sectPr w:rsidR="00E01094" w:rsidRPr="00182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AC"/>
    <w:rsid w:val="00182FB4"/>
    <w:rsid w:val="002F3819"/>
    <w:rsid w:val="008F42AC"/>
    <w:rsid w:val="00E0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094"/>
    <w:rPr>
      <w:rFonts w:cstheme="minorBidi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094"/>
    <w:rPr>
      <w:rFonts w:ascii="Tahoma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094"/>
    <w:rPr>
      <w:rFonts w:cstheme="minorBidi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094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62</Words>
  <Characters>376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2017-06-02T08:50:00Z</dcterms:created>
  <dcterms:modified xsi:type="dcterms:W3CDTF">2018-07-15T12:57:00Z</dcterms:modified>
</cp:coreProperties>
</file>